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58E5E6AC"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r>
      <w:r w:rsidR="00335B11" w:rsidRPr="00335B11">
        <w:rPr>
          <w:rFonts w:ascii="Arial" w:hAnsi="Arial" w:cs="Arial"/>
          <w:b/>
          <w:bCs/>
          <w:sz w:val="28"/>
        </w:rPr>
        <w:t>R1-16629</w:t>
      </w:r>
      <w:r w:rsidR="00C05198">
        <w:rPr>
          <w:rFonts w:ascii="Arial" w:hAnsi="Arial" w:cs="Arial"/>
          <w:b/>
          <w:bCs/>
          <w:sz w:val="28"/>
        </w:rPr>
        <w:t>8</w:t>
      </w:r>
    </w:p>
    <w:p w14:paraId="40BBAF56" w14:textId="77777777" w:rsidR="007560B7" w:rsidRDefault="007560B7" w:rsidP="007560B7">
      <w:pPr>
        <w:tabs>
          <w:tab w:val="center" w:pos="4536"/>
          <w:tab w:val="right" w:pos="8280"/>
          <w:tab w:val="right" w:pos="9781"/>
        </w:tabs>
        <w:ind w:right="-58"/>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0421C87C"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7.2.10</w:t>
      </w:r>
      <w:r>
        <w:rPr>
          <w:rFonts w:ascii="Arial" w:hAnsi="Arial" w:cs="Arial"/>
          <w:snapToGrid w:val="0"/>
          <w:sz w:val="24"/>
        </w:rPr>
        <w:t>.</w:t>
      </w:r>
      <w:r w:rsidR="00C05198">
        <w:rPr>
          <w:rFonts w:ascii="Arial" w:hAnsi="Arial" w:cs="Arial"/>
          <w:snapToGrid w:val="0"/>
          <w:sz w:val="24"/>
        </w:rPr>
        <w:t>1</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26F4B6F4"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335B11" w:rsidRPr="00335B11">
        <w:rPr>
          <w:rFonts w:ascii="Arial" w:hAnsi="Arial" w:cs="Arial"/>
          <w:snapToGrid w:val="0"/>
          <w:sz w:val="24"/>
        </w:rPr>
        <w:t xml:space="preserve">Support of </w:t>
      </w:r>
      <w:r w:rsidR="00C05198">
        <w:rPr>
          <w:rFonts w:ascii="Arial" w:hAnsi="Arial" w:cs="Arial"/>
          <w:snapToGrid w:val="0"/>
          <w:sz w:val="24"/>
        </w:rPr>
        <w:t>higher data rates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31F64052"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50693F">
        <w:rPr>
          <w:rFonts w:ascii="Times New Roman"/>
          <w:i/>
          <w:snapToGrid w:val="0"/>
          <w:kern w:val="0"/>
          <w:sz w:val="22"/>
          <w:szCs w:val="22"/>
          <w:lang w:val="en-GB"/>
        </w:rPr>
        <w:t xml:space="preserve">further enhancements for </w:t>
      </w:r>
      <w:proofErr w:type="gramStart"/>
      <w:r w:rsidR="0050693F">
        <w:rPr>
          <w:rFonts w:ascii="Times New Roman"/>
          <w:i/>
          <w:snapToGrid w:val="0"/>
          <w:kern w:val="0"/>
          <w:sz w:val="22"/>
          <w:szCs w:val="22"/>
          <w:lang w:val="en-GB"/>
        </w:rPr>
        <w:t xml:space="preserve">MTC </w:t>
      </w:r>
      <w:r>
        <w:rPr>
          <w:rFonts w:ascii="Times New Roman"/>
          <w:snapToGrid w:val="0"/>
          <w:kern w:val="0"/>
          <w:sz w:val="22"/>
          <w:szCs w:val="22"/>
          <w:lang w:val="en-GB"/>
        </w:rPr>
        <w:t xml:space="preserve"> [</w:t>
      </w:r>
      <w:proofErr w:type="gramEnd"/>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The objectives of the WI include the support of positioning, multicast, mobility enhancements and higher data rates.</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4AF8E9B7" w14:textId="1820759A"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C05198">
        <w:rPr>
          <w:rFonts w:ascii="Times New Roman"/>
          <w:snapToGrid w:val="0"/>
          <w:kern w:val="0"/>
          <w:sz w:val="22"/>
          <w:szCs w:val="22"/>
          <w:lang w:val="en-GB"/>
        </w:rPr>
        <w:t>higher data rates, including 10 HARQ processes for FD-FDD and larger maximum TBS</w:t>
      </w:r>
      <w:r w:rsidR="00A33FC8">
        <w:rPr>
          <w:rFonts w:ascii="Times New Roman"/>
          <w:snapToGrid w:val="0"/>
          <w:kern w:val="0"/>
          <w:sz w:val="22"/>
          <w:szCs w:val="22"/>
          <w:lang w:val="en-GB"/>
        </w:rPr>
        <w:t>.</w:t>
      </w:r>
    </w:p>
    <w:p w14:paraId="1486C44C" w14:textId="5E98FE58" w:rsidR="00C05198" w:rsidRDefault="00C05198"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Support of larger maximum TBS</w:t>
      </w:r>
    </w:p>
    <w:p w14:paraId="17210E46" w14:textId="6E2C9396" w:rsidR="0031422F" w:rsidRDefault="00C05198" w:rsidP="005142E4">
      <w:pPr>
        <w:pStyle w:val="LGTdoc1"/>
        <w:spacing w:beforeLines="0" w:before="120" w:after="220" w:afterAutospacing="0"/>
        <w:rPr>
          <w:b w:val="0"/>
          <w:sz w:val="22"/>
          <w:szCs w:val="22"/>
        </w:rPr>
      </w:pPr>
      <w:r>
        <w:rPr>
          <w:b w:val="0"/>
          <w:sz w:val="22"/>
          <w:szCs w:val="22"/>
        </w:rPr>
        <w:t xml:space="preserve">The definition of larger maximum TBS in Rel-14 would potentially create a new UE category, different from Rel-13 Cat-M1. </w:t>
      </w:r>
      <w:r w:rsidR="0031422F">
        <w:rPr>
          <w:b w:val="0"/>
          <w:sz w:val="22"/>
          <w:szCs w:val="22"/>
        </w:rPr>
        <w:t xml:space="preserve">One of the main design aspects of Rel-13 </w:t>
      </w:r>
      <w:proofErr w:type="spellStart"/>
      <w:r w:rsidR="0031422F">
        <w:rPr>
          <w:b w:val="0"/>
          <w:sz w:val="22"/>
          <w:szCs w:val="22"/>
        </w:rPr>
        <w:t>eMTC</w:t>
      </w:r>
      <w:proofErr w:type="spellEnd"/>
      <w:r w:rsidR="0031422F">
        <w:rPr>
          <w:b w:val="0"/>
          <w:sz w:val="22"/>
          <w:szCs w:val="22"/>
        </w:rPr>
        <w:t xml:space="preserve"> was cost reduction which, among other things, was attained by reducing the support of large TBS. Before deciding the maximum supported TBS (which may have a large impact on the UE complexity/cost), the use case for higher data rates should be clarified.</w:t>
      </w:r>
    </w:p>
    <w:p w14:paraId="3C1B00D8" w14:textId="52846F4D" w:rsidR="00865A7F" w:rsidRPr="00865A7F" w:rsidRDefault="00865A7F" w:rsidP="005142E4">
      <w:pPr>
        <w:pStyle w:val="LGTdoc1"/>
        <w:spacing w:beforeLines="0" w:before="120" w:after="220" w:afterAutospacing="0"/>
        <w:rPr>
          <w:sz w:val="22"/>
          <w:szCs w:val="22"/>
        </w:rPr>
      </w:pPr>
      <w:r w:rsidRPr="00865A7F">
        <w:rPr>
          <w:sz w:val="22"/>
          <w:szCs w:val="22"/>
          <w:u w:val="single"/>
        </w:rPr>
        <w:t>Observation 1:</w:t>
      </w:r>
      <w:r>
        <w:rPr>
          <w:sz w:val="22"/>
          <w:szCs w:val="22"/>
        </w:rPr>
        <w:t xml:space="preserve"> The use cases for larger TBS should be clarified.</w:t>
      </w:r>
    </w:p>
    <w:p w14:paraId="0F805D47" w14:textId="539FE053" w:rsidR="006F05CF" w:rsidRPr="00C05198" w:rsidRDefault="0031422F" w:rsidP="005142E4">
      <w:pPr>
        <w:pStyle w:val="LGTdoc1"/>
        <w:spacing w:beforeLines="0" w:before="120" w:after="220" w:afterAutospacing="0"/>
        <w:rPr>
          <w:b w:val="0"/>
          <w:sz w:val="22"/>
          <w:szCs w:val="22"/>
        </w:rPr>
      </w:pPr>
      <w:r>
        <w:rPr>
          <w:b w:val="0"/>
          <w:sz w:val="22"/>
          <w:szCs w:val="22"/>
        </w:rPr>
        <w:t>If indeed the use case for larger maximum TBS is justified</w:t>
      </w:r>
      <w:r w:rsidR="00C05198">
        <w:rPr>
          <w:b w:val="0"/>
          <w:sz w:val="22"/>
          <w:szCs w:val="22"/>
        </w:rPr>
        <w:t xml:space="preserve">, it is desired to keep the initial cell acquisition and random access procedure the same as in Rel-13. Therefore, the idle mode procedures (paging, random </w:t>
      </w:r>
      <w:proofErr w:type="gramStart"/>
      <w:r w:rsidR="00C05198">
        <w:rPr>
          <w:b w:val="0"/>
          <w:sz w:val="22"/>
          <w:szCs w:val="22"/>
        </w:rPr>
        <w:t>access</w:t>
      </w:r>
      <w:proofErr w:type="gramEnd"/>
      <w:r w:rsidR="00C05198">
        <w:rPr>
          <w:b w:val="0"/>
          <w:sz w:val="22"/>
          <w:szCs w:val="22"/>
        </w:rPr>
        <w:t>) should follow the Rel-13 procedures, with a maximum TBS of 1000 bits. Once the UE is connected, it can be configured to operate with a larger maximum TBS.</w:t>
      </w:r>
    </w:p>
    <w:p w14:paraId="50348C1C" w14:textId="25A0AE7E" w:rsidR="00C05198" w:rsidRDefault="00C05198" w:rsidP="005142E4">
      <w:pPr>
        <w:pStyle w:val="LGTdoc1"/>
        <w:spacing w:beforeLines="0" w:before="120" w:after="220" w:afterAutospacing="0"/>
        <w:rPr>
          <w:sz w:val="22"/>
          <w:szCs w:val="22"/>
          <w:lang w:val="en-US"/>
        </w:rPr>
      </w:pPr>
      <w:r w:rsidRPr="00C05198">
        <w:rPr>
          <w:sz w:val="22"/>
          <w:szCs w:val="22"/>
          <w:u w:val="single"/>
          <w:lang w:val="en-US"/>
        </w:rPr>
        <w:t>Proposal</w:t>
      </w:r>
      <w:r>
        <w:rPr>
          <w:sz w:val="22"/>
          <w:szCs w:val="22"/>
          <w:u w:val="single"/>
          <w:lang w:val="en-US"/>
        </w:rPr>
        <w:t xml:space="preserve"> 1</w:t>
      </w:r>
      <w:r w:rsidRPr="00C05198">
        <w:rPr>
          <w:sz w:val="22"/>
          <w:szCs w:val="22"/>
          <w:u w:val="single"/>
          <w:lang w:val="en-US"/>
        </w:rPr>
        <w:t>:</w:t>
      </w:r>
      <w:r>
        <w:rPr>
          <w:sz w:val="22"/>
          <w:szCs w:val="22"/>
          <w:u w:val="single"/>
          <w:lang w:val="en-US"/>
        </w:rPr>
        <w:t xml:space="preserve"> </w:t>
      </w:r>
      <w:r>
        <w:rPr>
          <w:sz w:val="22"/>
          <w:szCs w:val="22"/>
          <w:lang w:val="en-US"/>
        </w:rPr>
        <w:t>Larger TBS is only supported in connected mode.</w:t>
      </w:r>
    </w:p>
    <w:p w14:paraId="389CBD79" w14:textId="77777777" w:rsidR="00C05198" w:rsidRPr="00C05198" w:rsidRDefault="00C05198" w:rsidP="005142E4">
      <w:pPr>
        <w:pStyle w:val="LGTdoc1"/>
        <w:spacing w:beforeLines="0" w:before="120" w:after="220" w:afterAutospacing="0"/>
        <w:rPr>
          <w:sz w:val="22"/>
          <w:szCs w:val="22"/>
          <w:lang w:val="en-US"/>
        </w:rPr>
      </w:pPr>
    </w:p>
    <w:p w14:paraId="01A69C93" w14:textId="295FA4F0" w:rsidR="00C05198" w:rsidRDefault="00C05198" w:rsidP="00C05198">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UE complexity under higher TBS and 10 HARQ processes</w:t>
      </w:r>
    </w:p>
    <w:p w14:paraId="0ED2D066" w14:textId="2052EA7F" w:rsidR="00C05198" w:rsidRDefault="00C05198" w:rsidP="005142E4">
      <w:pPr>
        <w:pStyle w:val="LGTdoc1"/>
        <w:spacing w:beforeLines="0" w:before="120" w:after="220" w:afterAutospacing="0"/>
        <w:rPr>
          <w:b w:val="0"/>
          <w:sz w:val="22"/>
          <w:szCs w:val="22"/>
        </w:rPr>
      </w:pPr>
      <w:r>
        <w:rPr>
          <w:b w:val="0"/>
          <w:sz w:val="22"/>
          <w:szCs w:val="22"/>
        </w:rPr>
        <w:t>The main complexity increase due to larger maximum TBS and support of increased HARQ processes is in decoding capability and soft buffer size. For the decoding capability no complexity reduction techniques can be envisioned, as the UE has to be able to decode back-to-back PDSCH with maximum TBS to achieve peak data rate. The soft buffer size, however, can be reduced to decrease the memory requirements of the UE. Even when 10 HARQ are supported, for example, the soft buffer size can be kept to the equivalent of 8 HARQ processes. Similarly, the soft buffer size for support of larger TBS can be reduced.</w:t>
      </w:r>
    </w:p>
    <w:p w14:paraId="63300690" w14:textId="2C552DBD" w:rsidR="00C05198" w:rsidRPr="00C05198" w:rsidRDefault="00C05198" w:rsidP="005142E4">
      <w:pPr>
        <w:pStyle w:val="LGTdoc1"/>
        <w:spacing w:beforeLines="0" w:before="120" w:after="220" w:afterAutospacing="0"/>
        <w:rPr>
          <w:sz w:val="22"/>
          <w:szCs w:val="22"/>
        </w:rPr>
      </w:pPr>
      <w:r w:rsidRPr="00C05198">
        <w:rPr>
          <w:sz w:val="22"/>
          <w:szCs w:val="22"/>
          <w:u w:val="single"/>
        </w:rPr>
        <w:t>Proposal</w:t>
      </w:r>
      <w:r>
        <w:rPr>
          <w:sz w:val="22"/>
          <w:szCs w:val="22"/>
          <w:u w:val="single"/>
        </w:rPr>
        <w:t xml:space="preserve"> 2: </w:t>
      </w:r>
      <w:r>
        <w:rPr>
          <w:sz w:val="22"/>
          <w:szCs w:val="22"/>
        </w:rPr>
        <w:t xml:space="preserve">For UE configured to operate with 10 HARQ processes, the soft buffer size is not increased with respect to Rel-13 </w:t>
      </w:r>
      <w:proofErr w:type="spellStart"/>
      <w:r>
        <w:rPr>
          <w:sz w:val="22"/>
          <w:szCs w:val="22"/>
        </w:rPr>
        <w:t>eMTC</w:t>
      </w:r>
      <w:proofErr w:type="spellEnd"/>
      <w:r>
        <w:rPr>
          <w:sz w:val="22"/>
          <w:szCs w:val="22"/>
        </w:rPr>
        <w:t>.</w:t>
      </w:r>
    </w:p>
    <w:p w14:paraId="7241D725" w14:textId="5AC86C2C" w:rsidR="00C05198" w:rsidRPr="00C05198" w:rsidRDefault="00C05198" w:rsidP="005142E4">
      <w:pPr>
        <w:pStyle w:val="LGTdoc1"/>
        <w:spacing w:beforeLines="0" w:before="120" w:after="220" w:afterAutospacing="0"/>
        <w:rPr>
          <w:sz w:val="22"/>
          <w:szCs w:val="22"/>
          <w:lang w:val="en-US"/>
        </w:rPr>
      </w:pPr>
      <w:r w:rsidRPr="00C05198">
        <w:rPr>
          <w:sz w:val="22"/>
          <w:szCs w:val="22"/>
          <w:u w:val="single"/>
        </w:rPr>
        <w:t>Proposal</w:t>
      </w:r>
      <w:r>
        <w:rPr>
          <w:sz w:val="22"/>
          <w:szCs w:val="22"/>
          <w:u w:val="single"/>
        </w:rPr>
        <w:t xml:space="preserve"> 3: </w:t>
      </w:r>
      <w:r>
        <w:rPr>
          <w:sz w:val="22"/>
          <w:szCs w:val="22"/>
        </w:rPr>
        <w:t>Consider reducing the soft buffer size when supporting larger maximum TBS</w:t>
      </w:r>
    </w:p>
    <w:p w14:paraId="6B0199BD" w14:textId="3FD3C9D2" w:rsidR="00C05198" w:rsidRDefault="00C05198" w:rsidP="005142E4">
      <w:pPr>
        <w:pStyle w:val="LGTdoc1"/>
        <w:spacing w:beforeLines="0" w:before="120" w:after="220" w:afterAutospacing="0"/>
        <w:rPr>
          <w:b w:val="0"/>
          <w:sz w:val="22"/>
          <w:szCs w:val="22"/>
        </w:rPr>
      </w:pPr>
      <w:r>
        <w:rPr>
          <w:b w:val="0"/>
          <w:sz w:val="22"/>
          <w:szCs w:val="22"/>
        </w:rPr>
        <w:t xml:space="preserve">Similar to the issues in our companion contribution on increased bandwidth [2], the introduction of higher TBS and 10 HARQ processes may result in the definition of a new DCI (or, at least, modification in some DCI fields) to accommodate the additional features of Rel-13. This additional DCI should not increase in any case the number of MPDCCH blind </w:t>
      </w:r>
      <w:proofErr w:type="spellStart"/>
      <w:r>
        <w:rPr>
          <w:b w:val="0"/>
          <w:sz w:val="22"/>
          <w:szCs w:val="22"/>
        </w:rPr>
        <w:t>decodings</w:t>
      </w:r>
      <w:proofErr w:type="spellEnd"/>
      <w:r>
        <w:rPr>
          <w:b w:val="0"/>
          <w:sz w:val="22"/>
          <w:szCs w:val="22"/>
        </w:rPr>
        <w:t>, so the UE power consumption and complexity when monitoring the control channel is the same as that for Rel-13 UEs.</w:t>
      </w:r>
    </w:p>
    <w:p w14:paraId="74649C56" w14:textId="04C3040F" w:rsidR="00C05198" w:rsidRPr="00C05198" w:rsidRDefault="00C05198" w:rsidP="00C05198">
      <w:pPr>
        <w:pStyle w:val="LGTdoc1"/>
        <w:spacing w:beforeLines="0" w:before="120" w:after="220" w:afterAutospacing="0"/>
        <w:rPr>
          <w:sz w:val="22"/>
          <w:szCs w:val="22"/>
          <w:lang w:val="en-US"/>
        </w:rPr>
      </w:pPr>
      <w:r w:rsidRPr="00C05198">
        <w:rPr>
          <w:sz w:val="22"/>
          <w:szCs w:val="22"/>
          <w:u w:val="single"/>
        </w:rPr>
        <w:lastRenderedPageBreak/>
        <w:t>Proposal</w:t>
      </w:r>
      <w:r>
        <w:rPr>
          <w:sz w:val="22"/>
          <w:szCs w:val="22"/>
          <w:u w:val="single"/>
        </w:rPr>
        <w:t xml:space="preserve"> 4: </w:t>
      </w:r>
      <w:r>
        <w:rPr>
          <w:sz w:val="22"/>
          <w:szCs w:val="22"/>
        </w:rPr>
        <w:t xml:space="preserve">The introduction of new DCI (if necessary) for support of 10 HARQ processes and larger TBS should not increase the number of MPDCCH blind </w:t>
      </w:r>
      <w:proofErr w:type="spellStart"/>
      <w:r>
        <w:rPr>
          <w:sz w:val="22"/>
          <w:szCs w:val="22"/>
        </w:rPr>
        <w:t>decodings</w:t>
      </w:r>
      <w:proofErr w:type="spellEnd"/>
      <w:r>
        <w:rPr>
          <w:sz w:val="22"/>
          <w:szCs w:val="22"/>
        </w:rPr>
        <w:t>.</w:t>
      </w:r>
    </w:p>
    <w:p w14:paraId="64964868" w14:textId="77777777" w:rsidR="00C05198" w:rsidRDefault="00C05198" w:rsidP="005142E4">
      <w:pPr>
        <w:pStyle w:val="LGTdoc1"/>
        <w:spacing w:beforeLines="0" w:before="120" w:after="220" w:afterAutospacing="0"/>
        <w:rPr>
          <w:b w:val="0"/>
          <w:sz w:val="22"/>
          <w:szCs w:val="22"/>
          <w:lang w:val="en-US"/>
        </w:rPr>
      </w:pPr>
    </w:p>
    <w:p w14:paraId="0F3107BF" w14:textId="77777777" w:rsidR="00C05198" w:rsidRPr="00C05198" w:rsidRDefault="00C05198" w:rsidP="005142E4">
      <w:pPr>
        <w:pStyle w:val="LGTdoc1"/>
        <w:spacing w:beforeLines="0" w:before="120" w:after="220" w:afterAutospacing="0"/>
        <w:rPr>
          <w:b w:val="0"/>
          <w:sz w:val="22"/>
          <w:szCs w:val="22"/>
          <w:lang w:val="en-US"/>
        </w:rPr>
      </w:pPr>
    </w:p>
    <w:p w14:paraId="0AE73D74" w14:textId="64078794" w:rsidR="00C34876" w:rsidRDefault="00C3487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bookmarkEnd w:id="0"/>
    <w:bookmarkEnd w:id="1"/>
    <w:p w14:paraId="75F28EF6" w14:textId="77777777" w:rsidR="00865A7F" w:rsidRPr="00865A7F" w:rsidRDefault="00865A7F" w:rsidP="00865A7F">
      <w:pPr>
        <w:pStyle w:val="LGTdoc1"/>
        <w:spacing w:beforeLines="0" w:before="120" w:after="220" w:afterAutospacing="0"/>
        <w:rPr>
          <w:sz w:val="22"/>
          <w:szCs w:val="22"/>
        </w:rPr>
      </w:pPr>
      <w:r w:rsidRPr="00865A7F">
        <w:rPr>
          <w:sz w:val="22"/>
          <w:szCs w:val="22"/>
          <w:u w:val="single"/>
        </w:rPr>
        <w:t>Observation 1:</w:t>
      </w:r>
      <w:r>
        <w:rPr>
          <w:sz w:val="22"/>
          <w:szCs w:val="22"/>
        </w:rPr>
        <w:t xml:space="preserve"> The use cases for larger TBS should be clarified.</w:t>
      </w:r>
    </w:p>
    <w:p w14:paraId="5C56DE87" w14:textId="77777777" w:rsidR="00C05198" w:rsidRDefault="00C05198" w:rsidP="00C05198">
      <w:pPr>
        <w:pStyle w:val="LGTdoc1"/>
        <w:spacing w:beforeLines="0" w:before="120" w:after="220" w:afterAutospacing="0"/>
        <w:rPr>
          <w:sz w:val="22"/>
          <w:szCs w:val="22"/>
          <w:lang w:val="en-US"/>
        </w:rPr>
      </w:pPr>
      <w:bookmarkStart w:id="2" w:name="_GoBack"/>
      <w:bookmarkEnd w:id="2"/>
      <w:r w:rsidRPr="00C05198">
        <w:rPr>
          <w:sz w:val="22"/>
          <w:szCs w:val="22"/>
          <w:u w:val="single"/>
          <w:lang w:val="en-US"/>
        </w:rPr>
        <w:t>Proposal</w:t>
      </w:r>
      <w:r>
        <w:rPr>
          <w:sz w:val="22"/>
          <w:szCs w:val="22"/>
          <w:u w:val="single"/>
          <w:lang w:val="en-US"/>
        </w:rPr>
        <w:t xml:space="preserve"> 1</w:t>
      </w:r>
      <w:r w:rsidRPr="00C05198">
        <w:rPr>
          <w:sz w:val="22"/>
          <w:szCs w:val="22"/>
          <w:u w:val="single"/>
          <w:lang w:val="en-US"/>
        </w:rPr>
        <w:t>:</w:t>
      </w:r>
      <w:r>
        <w:rPr>
          <w:sz w:val="22"/>
          <w:szCs w:val="22"/>
          <w:u w:val="single"/>
          <w:lang w:val="en-US"/>
        </w:rPr>
        <w:t xml:space="preserve"> </w:t>
      </w:r>
      <w:r>
        <w:rPr>
          <w:sz w:val="22"/>
          <w:szCs w:val="22"/>
          <w:lang w:val="en-US"/>
        </w:rPr>
        <w:t>Larger TBS is only supported in connected mode.</w:t>
      </w:r>
    </w:p>
    <w:p w14:paraId="6B581B3D" w14:textId="77777777" w:rsidR="00C05198" w:rsidRPr="00C05198" w:rsidRDefault="00C05198" w:rsidP="00C05198">
      <w:pPr>
        <w:pStyle w:val="LGTdoc1"/>
        <w:spacing w:beforeLines="0" w:before="120" w:after="220" w:afterAutospacing="0"/>
        <w:rPr>
          <w:sz w:val="22"/>
          <w:szCs w:val="22"/>
        </w:rPr>
      </w:pPr>
      <w:r w:rsidRPr="00C05198">
        <w:rPr>
          <w:sz w:val="22"/>
          <w:szCs w:val="22"/>
          <w:u w:val="single"/>
        </w:rPr>
        <w:t>Proposal</w:t>
      </w:r>
      <w:r>
        <w:rPr>
          <w:sz w:val="22"/>
          <w:szCs w:val="22"/>
          <w:u w:val="single"/>
        </w:rPr>
        <w:t xml:space="preserve"> 2: </w:t>
      </w:r>
      <w:r>
        <w:rPr>
          <w:sz w:val="22"/>
          <w:szCs w:val="22"/>
        </w:rPr>
        <w:t xml:space="preserve">For UE configured to operate with 10 HARQ processes, the soft buffer size is not increased with respect to Rel-13 </w:t>
      </w:r>
      <w:proofErr w:type="spellStart"/>
      <w:r>
        <w:rPr>
          <w:sz w:val="22"/>
          <w:szCs w:val="22"/>
        </w:rPr>
        <w:t>eMTC</w:t>
      </w:r>
      <w:proofErr w:type="spellEnd"/>
      <w:r>
        <w:rPr>
          <w:sz w:val="22"/>
          <w:szCs w:val="22"/>
        </w:rPr>
        <w:t>.</w:t>
      </w:r>
    </w:p>
    <w:p w14:paraId="2E19E1E8" w14:textId="77777777" w:rsidR="00C05198" w:rsidRPr="00C05198" w:rsidRDefault="00C05198" w:rsidP="00C05198">
      <w:pPr>
        <w:pStyle w:val="LGTdoc1"/>
        <w:spacing w:beforeLines="0" w:before="120" w:after="220" w:afterAutospacing="0"/>
        <w:rPr>
          <w:sz w:val="22"/>
          <w:szCs w:val="22"/>
          <w:lang w:val="en-US"/>
        </w:rPr>
      </w:pPr>
      <w:r w:rsidRPr="00C05198">
        <w:rPr>
          <w:sz w:val="22"/>
          <w:szCs w:val="22"/>
          <w:u w:val="single"/>
        </w:rPr>
        <w:t>Proposal</w:t>
      </w:r>
      <w:r>
        <w:rPr>
          <w:sz w:val="22"/>
          <w:szCs w:val="22"/>
          <w:u w:val="single"/>
        </w:rPr>
        <w:t xml:space="preserve"> 3: </w:t>
      </w:r>
      <w:r>
        <w:rPr>
          <w:sz w:val="22"/>
          <w:szCs w:val="22"/>
        </w:rPr>
        <w:t>Consider reducing the soft buffer size when supporting larger maximum TBS</w:t>
      </w:r>
    </w:p>
    <w:p w14:paraId="3632A91C" w14:textId="5851FE27" w:rsidR="00C05198" w:rsidRPr="00C05198" w:rsidRDefault="00C05198" w:rsidP="00C05198">
      <w:pPr>
        <w:pStyle w:val="LGTdoc1"/>
        <w:spacing w:beforeLines="0" w:before="120" w:after="220" w:afterAutospacing="0"/>
        <w:rPr>
          <w:sz w:val="22"/>
          <w:szCs w:val="22"/>
          <w:lang w:val="en-US"/>
        </w:rPr>
      </w:pPr>
      <w:r w:rsidRPr="00C05198">
        <w:rPr>
          <w:sz w:val="22"/>
          <w:szCs w:val="22"/>
          <w:u w:val="single"/>
        </w:rPr>
        <w:t>Proposal</w:t>
      </w:r>
      <w:r>
        <w:rPr>
          <w:sz w:val="22"/>
          <w:szCs w:val="22"/>
          <w:u w:val="single"/>
        </w:rPr>
        <w:t xml:space="preserve"> 4: </w:t>
      </w:r>
      <w:r>
        <w:rPr>
          <w:sz w:val="22"/>
          <w:szCs w:val="22"/>
        </w:rPr>
        <w:t>The introduction of new DCI (if necessary</w:t>
      </w:r>
      <w:proofErr w:type="gramStart"/>
      <w:r>
        <w:rPr>
          <w:sz w:val="22"/>
          <w:szCs w:val="22"/>
        </w:rPr>
        <w:t>)  for</w:t>
      </w:r>
      <w:proofErr w:type="gramEnd"/>
      <w:r>
        <w:rPr>
          <w:sz w:val="22"/>
          <w:szCs w:val="22"/>
        </w:rPr>
        <w:t xml:space="preserve"> support of 10 HARQ processes and larger TBS should not increase the number of MPDCCH blind </w:t>
      </w:r>
      <w:proofErr w:type="spellStart"/>
      <w:r>
        <w:rPr>
          <w:sz w:val="22"/>
          <w:szCs w:val="22"/>
        </w:rPr>
        <w:t>decodings</w:t>
      </w:r>
      <w:proofErr w:type="spellEnd"/>
      <w:r>
        <w:rPr>
          <w:sz w:val="22"/>
          <w:szCs w:val="22"/>
        </w:rPr>
        <w:t>.</w:t>
      </w:r>
    </w:p>
    <w:p w14:paraId="552C0FC5" w14:textId="77777777" w:rsidR="00A33FC8" w:rsidRPr="00C05198" w:rsidRDefault="00A33FC8" w:rsidP="006F5C8E">
      <w:pPr>
        <w:pStyle w:val="LGTdoc1"/>
        <w:spacing w:beforeLines="0" w:before="120" w:after="220" w:afterAutospacing="0"/>
        <w:rPr>
          <w:sz w:val="22"/>
          <w:szCs w:val="22"/>
          <w:lang w:val="en-US"/>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3E29A784" w:rsidR="007560B7" w:rsidRDefault="00E77804" w:rsidP="00FF47FD">
      <w:pPr>
        <w:pStyle w:val="LGTdoc1"/>
        <w:spacing w:before="120" w:after="220"/>
        <w:rPr>
          <w:b w:val="0"/>
          <w:sz w:val="22"/>
          <w:szCs w:val="22"/>
        </w:rPr>
      </w:pPr>
      <w:r w:rsidRPr="00FF47FD">
        <w:rPr>
          <w:b w:val="0"/>
          <w:sz w:val="22"/>
          <w:szCs w:val="22"/>
        </w:rPr>
        <w:t xml:space="preserve">[1] </w:t>
      </w:r>
      <w:r w:rsidR="00FF47FD" w:rsidRPr="00FF47FD">
        <w:rPr>
          <w:b w:val="0"/>
          <w:sz w:val="22"/>
          <w:szCs w:val="22"/>
        </w:rPr>
        <w:t>RP-161321</w:t>
      </w:r>
      <w:r w:rsidRPr="00FF47FD">
        <w:rPr>
          <w:b w:val="0"/>
          <w:sz w:val="22"/>
          <w:szCs w:val="22"/>
        </w:rPr>
        <w:t>, “</w:t>
      </w:r>
      <w:r w:rsidR="00FF47FD" w:rsidRPr="00FF47FD">
        <w:rPr>
          <w:b w:val="0"/>
          <w:sz w:val="22"/>
          <w:szCs w:val="22"/>
        </w:rPr>
        <w:t xml:space="preserve">New WI proposal on Further Enhanced MTC </w:t>
      </w:r>
      <w:r w:rsidRPr="00FF47FD">
        <w:rPr>
          <w:b w:val="0"/>
          <w:sz w:val="22"/>
          <w:szCs w:val="22"/>
        </w:rPr>
        <w:t xml:space="preserve">“, </w:t>
      </w:r>
      <w:r w:rsidR="003775E1" w:rsidRPr="00FF47FD">
        <w:rPr>
          <w:b w:val="0"/>
          <w:sz w:val="22"/>
          <w:szCs w:val="22"/>
        </w:rPr>
        <w:t>Ericsson</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p w14:paraId="1A689E8C" w14:textId="0222C533" w:rsidR="00C05198" w:rsidRPr="00C05198" w:rsidRDefault="00C05198" w:rsidP="00C05198">
      <w:pPr>
        <w:pStyle w:val="LGTdoc1"/>
        <w:spacing w:before="120" w:after="220"/>
        <w:rPr>
          <w:b w:val="0"/>
          <w:sz w:val="22"/>
          <w:szCs w:val="22"/>
          <w:lang w:val="en-US"/>
        </w:rPr>
      </w:pPr>
      <w:r>
        <w:rPr>
          <w:b w:val="0"/>
          <w:sz w:val="22"/>
          <w:szCs w:val="22"/>
        </w:rPr>
        <w:t xml:space="preserve">[2] </w:t>
      </w:r>
      <w:r w:rsidRPr="00C05198">
        <w:rPr>
          <w:b w:val="0"/>
          <w:sz w:val="22"/>
          <w:szCs w:val="22"/>
        </w:rPr>
        <w:t xml:space="preserve">R1-166297 </w:t>
      </w:r>
      <w:r>
        <w:rPr>
          <w:b w:val="0"/>
          <w:sz w:val="22"/>
          <w:szCs w:val="22"/>
        </w:rPr>
        <w:t>“</w:t>
      </w:r>
      <w:r w:rsidRPr="00C05198">
        <w:rPr>
          <w:b w:val="0"/>
          <w:sz w:val="22"/>
          <w:szCs w:val="22"/>
        </w:rPr>
        <w:t>Support of larger data channel bandwidth</w:t>
      </w:r>
      <w:r>
        <w:rPr>
          <w:b w:val="0"/>
          <w:sz w:val="22"/>
          <w:szCs w:val="22"/>
        </w:rPr>
        <w:t xml:space="preserve">”, Qualcomm; 3GPP TSG RAN WG1 Meeting #86, </w:t>
      </w:r>
      <w:r w:rsidRPr="00C05198">
        <w:rPr>
          <w:b w:val="0"/>
          <w:sz w:val="22"/>
          <w:szCs w:val="22"/>
        </w:rPr>
        <w:t>Gothenburg, Sweden 22nd - 26th August 2016</w:t>
      </w:r>
    </w:p>
    <w:sectPr w:rsidR="00C05198" w:rsidRPr="00C05198"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82AE2" w14:textId="77777777" w:rsidR="00462C12" w:rsidRDefault="00462C12">
      <w:r>
        <w:separator/>
      </w:r>
    </w:p>
  </w:endnote>
  <w:endnote w:type="continuationSeparator" w:id="0">
    <w:p w14:paraId="2BBDD74B" w14:textId="77777777" w:rsidR="00462C12" w:rsidRDefault="00462C12">
      <w:r>
        <w:continuationSeparator/>
      </w:r>
    </w:p>
  </w:endnote>
  <w:endnote w:type="continuationNotice" w:id="1">
    <w:p w14:paraId="6AADB995" w14:textId="77777777" w:rsidR="00462C12" w:rsidRDefault="00462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65A7F">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BC4EA" w14:textId="77777777" w:rsidR="00462C12" w:rsidRDefault="00462C12">
      <w:r>
        <w:separator/>
      </w:r>
    </w:p>
  </w:footnote>
  <w:footnote w:type="continuationSeparator" w:id="0">
    <w:p w14:paraId="28955CB1" w14:textId="77777777" w:rsidR="00462C12" w:rsidRDefault="00462C12">
      <w:r>
        <w:continuationSeparator/>
      </w:r>
    </w:p>
  </w:footnote>
  <w:footnote w:type="continuationNotice" w:id="1">
    <w:p w14:paraId="144D6FB9" w14:textId="77777777" w:rsidR="00462C12" w:rsidRDefault="00462C1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8"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3"/>
  </w:num>
  <w:num w:numId="2">
    <w:abstractNumId w:val="2"/>
  </w:num>
  <w:num w:numId="3">
    <w:abstractNumId w:val="4"/>
  </w:num>
  <w:num w:numId="4">
    <w:abstractNumId w:val="6"/>
  </w:num>
  <w:num w:numId="5">
    <w:abstractNumId w:val="7"/>
  </w:num>
  <w:num w:numId="6">
    <w:abstractNumId w:val="0"/>
  </w:num>
  <w:num w:numId="7">
    <w:abstractNumId w:val="8"/>
  </w:num>
  <w:num w:numId="8">
    <w:abstractNumId w:val="5"/>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22F"/>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2C12"/>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828"/>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7F"/>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79B"/>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28"/>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198"/>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85D"/>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7709E28F-3F2A-4309-A6D7-DBAE9D977A0D}">
  <ds:schemaRefs>
    <ds:schemaRef ds:uri="http://schemas.openxmlformats.org/officeDocument/2006/bibliography"/>
  </ds:schemaRefs>
</ds:datastoreItem>
</file>

<file path=customXml/itemProps7.xml><?xml version="1.0" encoding="utf-8"?>
<ds:datastoreItem xmlns:ds="http://schemas.openxmlformats.org/officeDocument/2006/customXml" ds:itemID="{8ADBA616-BE51-4690-AD34-CF99F8405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2</Pages>
  <Words>577</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31</cp:revision>
  <cp:lastPrinted>2010-08-13T21:54:00Z</cp:lastPrinted>
  <dcterms:created xsi:type="dcterms:W3CDTF">2016-03-22T22:35:00Z</dcterms:created>
  <dcterms:modified xsi:type="dcterms:W3CDTF">2016-08-12T20:35:00Z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